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sz w:val="2"/>
          <w:szCs w:val="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jc w:val="center"/>
        <w:rPr>
          <w:rFonts w:ascii="Arial" w:cs="Arial" w:eastAsia="Arial" w:hAnsi="Arial"/>
          <w:b w:val="1"/>
          <w:color w:val="00497b"/>
          <w:sz w:val="2"/>
          <w:szCs w:val="2"/>
        </w:rPr>
      </w:pPr>
      <w:r w:rsidDel="00000000" w:rsidR="00000000" w:rsidRPr="00000000">
        <w:rPr>
          <w:rFonts w:ascii="Arial" w:cs="Arial" w:eastAsia="Arial" w:hAnsi="Arial"/>
          <w:b w:val="1"/>
          <w:color w:val="00497b"/>
          <w:sz w:val="2"/>
          <w:szCs w:val="2"/>
          <w:rtl w:val="0"/>
        </w:rPr>
        <w:t xml:space="preserve"> fu</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497b"/>
          <w:sz w:val="24"/>
          <w:szCs w:val="24"/>
          <w:rtl w:val="0"/>
        </w:rPr>
        <w:t xml:space="preserve">Ascend at the Aspen Institute</w:t>
      </w:r>
      <w:r w:rsidDel="00000000" w:rsidR="00000000" w:rsidRPr="00000000">
        <w:rPr>
          <w:rtl w:val="0"/>
        </w:rPr>
      </w:r>
    </w:p>
    <w:p w:rsidR="00000000" w:rsidDel="00000000" w:rsidP="00000000" w:rsidRDefault="00000000" w:rsidRPr="00000000" w14:paraId="00000005">
      <w:pPr>
        <w:spacing w:after="240" w:before="240" w:line="240" w:lineRule="auto"/>
        <w:jc w:val="center"/>
        <w:rPr>
          <w:rFonts w:ascii="Arial" w:cs="Arial" w:eastAsia="Arial" w:hAnsi="Arial"/>
          <w:b w:val="1"/>
          <w:color w:val="00497b"/>
          <w:sz w:val="28"/>
          <w:szCs w:val="28"/>
        </w:rPr>
      </w:pPr>
      <w:r w:rsidDel="00000000" w:rsidR="00000000" w:rsidRPr="00000000">
        <w:rPr>
          <w:rFonts w:ascii="Arial" w:cs="Arial" w:eastAsia="Arial" w:hAnsi="Arial"/>
          <w:b w:val="1"/>
          <w:color w:val="00497b"/>
          <w:sz w:val="24"/>
          <w:szCs w:val="24"/>
          <w:rtl w:val="0"/>
        </w:rPr>
        <w:t xml:space="preserve">Postsecondary Leadership Circle Activation Fund Grants</w:t>
      </w: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color w:val="ed7d31"/>
          <w:sz w:val="28"/>
          <w:szCs w:val="28"/>
        </w:rPr>
      </w:pPr>
      <w:r w:rsidDel="00000000" w:rsidR="00000000" w:rsidRPr="00000000">
        <w:rPr>
          <w:rFonts w:ascii="Arial" w:cs="Arial" w:eastAsia="Arial" w:hAnsi="Arial"/>
          <w:b w:val="1"/>
          <w:color w:val="ed7d31"/>
          <w:sz w:val="28"/>
          <w:szCs w:val="28"/>
          <w:rtl w:val="0"/>
        </w:rPr>
        <w:t xml:space="preserve">Budget</w:t>
      </w:r>
    </w:p>
    <w:p w:rsidR="00000000" w:rsidDel="00000000" w:rsidP="00000000" w:rsidRDefault="00000000" w:rsidRPr="00000000" w14:paraId="00000007">
      <w:pPr>
        <w:spacing w:after="0" w:line="240" w:lineRule="auto"/>
        <w:jc w:val="center"/>
        <w:rPr>
          <w:rFonts w:ascii="Arial" w:cs="Arial" w:eastAsia="Arial" w:hAnsi="Arial"/>
          <w:b w:val="1"/>
          <w:color w:val="ed7d31"/>
          <w:sz w:val="28"/>
          <w:szCs w:val="28"/>
        </w:rPr>
      </w:pP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This document contains budget category definitions, a budget template, and space to include a budget narrative. </w:t>
      </w:r>
    </w:p>
    <w:p w:rsidR="00000000" w:rsidDel="00000000" w:rsidP="00000000" w:rsidRDefault="00000000" w:rsidRPr="00000000" w14:paraId="00000009">
      <w:pPr>
        <w:spacing w:line="240" w:lineRule="auto"/>
        <w:rPr>
          <w:rFonts w:ascii="Arial" w:cs="Arial" w:eastAsia="Arial" w:hAnsi="Arial"/>
          <w:b w:val="1"/>
          <w:color w:val="ed7d31"/>
          <w:u w:val="single"/>
        </w:rPr>
      </w:pPr>
      <w:r w:rsidDel="00000000" w:rsidR="00000000" w:rsidRPr="00000000">
        <w:rPr>
          <w:rFonts w:ascii="Arial" w:cs="Arial" w:eastAsia="Arial" w:hAnsi="Arial"/>
          <w:b w:val="1"/>
          <w:color w:val="ed7d31"/>
          <w:u w:val="single"/>
          <w:rtl w:val="0"/>
        </w:rPr>
        <w:t xml:space="preserve">Budget Category Definitions</w:t>
      </w:r>
    </w:p>
    <w:tbl>
      <w:tblPr>
        <w:tblStyle w:val="Table1"/>
        <w:tblW w:w="963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7200"/>
        <w:tblGridChange w:id="0">
          <w:tblGrid>
            <w:gridCol w:w="2430"/>
            <w:gridCol w:w="7200"/>
          </w:tblGrid>
        </w:tblGridChange>
      </w:tblGrid>
      <w:tr>
        <w:trPr>
          <w:cantSplit w:val="0"/>
          <w:trHeight w:val="320" w:hRule="atLeast"/>
          <w:tblHeader w:val="0"/>
        </w:trPr>
        <w:tc>
          <w:tcPr/>
          <w:p w:rsidR="00000000" w:rsidDel="00000000" w:rsidP="00000000" w:rsidRDefault="00000000" w:rsidRPr="00000000" w14:paraId="0000000A">
            <w:pPr>
              <w:rPr>
                <w:b w:val="1"/>
                <w:i w:val="1"/>
                <w:color w:val="000000"/>
              </w:rPr>
            </w:pPr>
            <w:r w:rsidDel="00000000" w:rsidR="00000000" w:rsidRPr="00000000">
              <w:rPr>
                <w:b w:val="1"/>
                <w:i w:val="1"/>
                <w:color w:val="000000"/>
                <w:rtl w:val="0"/>
              </w:rPr>
              <w:t xml:space="preserve">DIRECT COSTS</w:t>
            </w:r>
          </w:p>
        </w:tc>
        <w:tc>
          <w:tcPr/>
          <w:p w:rsidR="00000000" w:rsidDel="00000000" w:rsidP="00000000" w:rsidRDefault="00000000" w:rsidRPr="00000000" w14:paraId="0000000B">
            <w:pPr>
              <w:rPr>
                <w:color w:val="000000"/>
              </w:rPr>
            </w:pPr>
            <w:r w:rsidDel="00000000" w:rsidR="00000000" w:rsidRPr="00000000">
              <w:rPr>
                <w:color w:val="000000"/>
                <w:rtl w:val="0"/>
              </w:rPr>
              <w:t xml:space="preserve">Direct costs are those costs that are uniquely required to achieve the specific outcomes of a grant.</w:t>
            </w:r>
          </w:p>
        </w:tc>
      </w:tr>
      <w:tr>
        <w:trPr>
          <w:cantSplit w:val="0"/>
          <w:trHeight w:val="320" w:hRule="atLeast"/>
          <w:tblHeader w:val="0"/>
        </w:trPr>
        <w:tc>
          <w:tcPr/>
          <w:p w:rsidR="00000000" w:rsidDel="00000000" w:rsidP="00000000" w:rsidRDefault="00000000" w:rsidRPr="00000000" w14:paraId="0000000C">
            <w:pPr>
              <w:rPr>
                <w:b w:val="1"/>
                <w:i w:val="1"/>
                <w:color w:val="000000"/>
              </w:rPr>
            </w:pPr>
            <w:r w:rsidDel="00000000" w:rsidR="00000000" w:rsidRPr="00000000">
              <w:rPr>
                <w:b w:val="1"/>
                <w:i w:val="1"/>
                <w:color w:val="000000"/>
                <w:rtl w:val="0"/>
              </w:rPr>
              <w:t xml:space="preserve">Personnel</w:t>
            </w:r>
          </w:p>
        </w:tc>
        <w:tc>
          <w:tcPr/>
          <w:p w:rsidR="00000000" w:rsidDel="00000000" w:rsidP="00000000" w:rsidRDefault="00000000" w:rsidRPr="00000000" w14:paraId="0000000D">
            <w:pPr>
              <w:rPr>
                <w:b w:val="1"/>
                <w:i w:val="1"/>
                <w:color w:val="000000"/>
              </w:rPr>
            </w:pPr>
            <w:r w:rsidDel="00000000" w:rsidR="00000000" w:rsidRPr="00000000">
              <w:rPr>
                <w:rtl w:val="0"/>
              </w:rPr>
            </w:r>
          </w:p>
        </w:tc>
      </w:tr>
      <w:tr>
        <w:trPr>
          <w:cantSplit w:val="0"/>
          <w:trHeight w:val="640" w:hRule="atLeast"/>
          <w:tblHeader w:val="0"/>
        </w:trPr>
        <w:tc>
          <w:tcPr/>
          <w:p w:rsidR="00000000" w:rsidDel="00000000" w:rsidP="00000000" w:rsidRDefault="00000000" w:rsidRPr="00000000" w14:paraId="0000000E">
            <w:pPr>
              <w:jc w:val="right"/>
              <w:rPr>
                <w:b w:val="1"/>
                <w:i w:val="1"/>
                <w:color w:val="000000"/>
              </w:rPr>
            </w:pPr>
            <w:r w:rsidDel="00000000" w:rsidR="00000000" w:rsidRPr="00000000">
              <w:rPr>
                <w:b w:val="1"/>
                <w:i w:val="1"/>
                <w:color w:val="000000"/>
                <w:rtl w:val="0"/>
              </w:rPr>
              <w:t xml:space="preserve">Salaries and Benefits</w:t>
            </w:r>
          </w:p>
        </w:tc>
        <w:tc>
          <w:tcPr/>
          <w:p w:rsidR="00000000" w:rsidDel="00000000" w:rsidP="00000000" w:rsidRDefault="00000000" w:rsidRPr="00000000" w14:paraId="0000000F">
            <w:pPr>
              <w:rPr>
                <w:color w:val="000000"/>
              </w:rPr>
            </w:pPr>
            <w:r w:rsidDel="00000000" w:rsidR="00000000" w:rsidRPr="00000000">
              <w:rPr>
                <w:color w:val="000000"/>
                <w:rtl w:val="0"/>
              </w:rPr>
              <w:t xml:space="preserve">Salary and benefit expenses for employees of the applicant organization. Costs for project staff who are not employees of the applicant organization should be listed under Consultants. List job titles (not employee names). </w:t>
            </w:r>
          </w:p>
        </w:tc>
      </w:tr>
      <w:tr>
        <w:trPr>
          <w:cantSplit w:val="0"/>
          <w:trHeight w:val="320" w:hRule="atLeast"/>
          <w:tblHeader w:val="0"/>
        </w:trPr>
        <w:tc>
          <w:tcPr/>
          <w:p w:rsidR="00000000" w:rsidDel="00000000" w:rsidP="00000000" w:rsidRDefault="00000000" w:rsidRPr="00000000" w14:paraId="00000010">
            <w:pPr>
              <w:rPr>
                <w:b w:val="1"/>
                <w:i w:val="1"/>
                <w:color w:val="000000"/>
              </w:rPr>
            </w:pPr>
            <w:r w:rsidDel="00000000" w:rsidR="00000000" w:rsidRPr="00000000">
              <w:rPr>
                <w:b w:val="1"/>
                <w:i w:val="1"/>
                <w:color w:val="000000"/>
                <w:rtl w:val="0"/>
              </w:rPr>
              <w:t xml:space="preserve">Non-Personnel</w:t>
            </w:r>
          </w:p>
        </w:tc>
        <w:tc>
          <w:tcPr/>
          <w:p w:rsidR="00000000" w:rsidDel="00000000" w:rsidP="00000000" w:rsidRDefault="00000000" w:rsidRPr="00000000" w14:paraId="00000011">
            <w:pPr>
              <w:rPr>
                <w:color w:val="000000"/>
              </w:rPr>
            </w:pPr>
            <w:r w:rsidDel="00000000" w:rsidR="00000000" w:rsidRPr="00000000">
              <w:rPr>
                <w:color w:val="000000"/>
                <w:rtl w:val="0"/>
              </w:rPr>
              <w:t xml:space="preserve"> </w:t>
            </w:r>
          </w:p>
        </w:tc>
      </w:tr>
      <w:tr>
        <w:trPr>
          <w:cantSplit w:val="0"/>
          <w:trHeight w:val="960" w:hRule="atLeast"/>
          <w:tblHeader w:val="0"/>
        </w:trPr>
        <w:tc>
          <w:tcPr/>
          <w:p w:rsidR="00000000" w:rsidDel="00000000" w:rsidP="00000000" w:rsidRDefault="00000000" w:rsidRPr="00000000" w14:paraId="00000012">
            <w:pPr>
              <w:jc w:val="right"/>
              <w:rPr>
                <w:b w:val="1"/>
                <w:i w:val="1"/>
                <w:color w:val="000000"/>
              </w:rPr>
            </w:pPr>
            <w:r w:rsidDel="00000000" w:rsidR="00000000" w:rsidRPr="00000000">
              <w:rPr>
                <w:b w:val="1"/>
                <w:i w:val="1"/>
                <w:color w:val="000000"/>
                <w:rtl w:val="0"/>
              </w:rPr>
              <w:t xml:space="preserve">Consultants</w:t>
            </w:r>
          </w:p>
        </w:tc>
        <w:tc>
          <w:tcPr/>
          <w:p w:rsidR="00000000" w:rsidDel="00000000" w:rsidP="00000000" w:rsidRDefault="00000000" w:rsidRPr="00000000" w14:paraId="00000013">
            <w:pPr>
              <w:rPr>
                <w:color w:val="000000"/>
              </w:rPr>
            </w:pPr>
            <w:r w:rsidDel="00000000" w:rsidR="00000000" w:rsidRPr="00000000">
              <w:rPr>
                <w:color w:val="000000"/>
                <w:rtl w:val="0"/>
              </w:rPr>
              <w:t xml:space="preserve">Include individuals or consulting firms who are working on the project/program but are not employees of the applicant organization. Independent contractors are also considered consultants. List by type of service provided (not individual or organization name).</w:t>
            </w:r>
          </w:p>
        </w:tc>
      </w:tr>
      <w:tr>
        <w:trPr>
          <w:cantSplit w:val="0"/>
          <w:trHeight w:val="960" w:hRule="atLeast"/>
          <w:tblHeader w:val="0"/>
        </w:trPr>
        <w:tc>
          <w:tcPr/>
          <w:p w:rsidR="00000000" w:rsidDel="00000000" w:rsidP="00000000" w:rsidRDefault="00000000" w:rsidRPr="00000000" w14:paraId="00000014">
            <w:pPr>
              <w:jc w:val="right"/>
              <w:rPr>
                <w:b w:val="1"/>
                <w:i w:val="1"/>
                <w:color w:val="000000"/>
              </w:rPr>
            </w:pPr>
            <w:r w:rsidDel="00000000" w:rsidR="00000000" w:rsidRPr="00000000">
              <w:rPr>
                <w:b w:val="1"/>
                <w:i w:val="1"/>
                <w:color w:val="000000"/>
                <w:rtl w:val="0"/>
              </w:rPr>
              <w:t xml:space="preserve">Travel</w:t>
            </w:r>
          </w:p>
        </w:tc>
        <w:tc>
          <w:tcPr/>
          <w:p w:rsidR="00000000" w:rsidDel="00000000" w:rsidP="00000000" w:rsidRDefault="00000000" w:rsidRPr="00000000" w14:paraId="00000015">
            <w:pPr>
              <w:rPr>
                <w:color w:val="000000"/>
              </w:rPr>
            </w:pPr>
            <w:r w:rsidDel="00000000" w:rsidR="00000000" w:rsidRPr="00000000">
              <w:rPr>
                <w:color w:val="000000"/>
                <w:rtl w:val="0"/>
              </w:rPr>
              <w:t xml:space="preserve">Includes travel required to implement the project/program, including airfare, mileage, vehicle rental, lodging and meals. Travel costs also include stipends to offset meeting participant travel expenses that are not otherwise listed in the Sub-Grant/Sub-Award or Consultants/Contractors line items.</w:t>
            </w:r>
          </w:p>
        </w:tc>
      </w:tr>
      <w:tr>
        <w:trPr>
          <w:cantSplit w:val="0"/>
          <w:trHeight w:val="960" w:hRule="atLeast"/>
          <w:tblHeader w:val="0"/>
        </w:trPr>
        <w:tc>
          <w:tcPr/>
          <w:p w:rsidR="00000000" w:rsidDel="00000000" w:rsidP="00000000" w:rsidRDefault="00000000" w:rsidRPr="00000000" w14:paraId="00000016">
            <w:pPr>
              <w:jc w:val="right"/>
              <w:rPr>
                <w:b w:val="1"/>
                <w:i w:val="1"/>
                <w:color w:val="000000"/>
              </w:rPr>
            </w:pPr>
            <w:r w:rsidDel="00000000" w:rsidR="00000000" w:rsidRPr="00000000">
              <w:rPr>
                <w:b w:val="1"/>
                <w:i w:val="1"/>
                <w:color w:val="000000"/>
                <w:rtl w:val="0"/>
              </w:rPr>
              <w:t xml:space="preserve">Supplies/Equipment/ Technology</w:t>
            </w:r>
          </w:p>
        </w:tc>
        <w:tc>
          <w:tcPr/>
          <w:p w:rsidR="00000000" w:rsidDel="00000000" w:rsidP="00000000" w:rsidRDefault="00000000" w:rsidRPr="00000000" w14:paraId="00000017">
            <w:pPr>
              <w:rPr>
                <w:color w:val="000000"/>
              </w:rPr>
            </w:pPr>
            <w:r w:rsidDel="00000000" w:rsidR="00000000" w:rsidRPr="00000000">
              <w:rPr>
                <w:color w:val="000000"/>
                <w:rtl w:val="0"/>
              </w:rPr>
              <w:t xml:space="preserve">Includes supplies and office expenses needed for the project/program and that are independent of organization-wide office supplies. Furniture, computers, and related equipment require a description in the narrative section explaining why the equipment is needed for the project.</w:t>
            </w:r>
          </w:p>
        </w:tc>
      </w:tr>
      <w:tr>
        <w:trPr>
          <w:cantSplit w:val="0"/>
          <w:trHeight w:val="640" w:hRule="atLeast"/>
          <w:tblHeader w:val="0"/>
        </w:trPr>
        <w:tc>
          <w:tcPr/>
          <w:p w:rsidR="00000000" w:rsidDel="00000000" w:rsidP="00000000" w:rsidRDefault="00000000" w:rsidRPr="00000000" w14:paraId="00000018">
            <w:pPr>
              <w:jc w:val="right"/>
              <w:rPr>
                <w:b w:val="1"/>
                <w:i w:val="1"/>
                <w:color w:val="000000"/>
              </w:rPr>
            </w:pPr>
            <w:r w:rsidDel="00000000" w:rsidR="00000000" w:rsidRPr="00000000">
              <w:rPr>
                <w:b w:val="1"/>
                <w:i w:val="1"/>
                <w:color w:val="000000"/>
                <w:rtl w:val="0"/>
              </w:rPr>
              <w:t xml:space="preserve">Convenings/Meetings</w:t>
            </w:r>
          </w:p>
        </w:tc>
        <w:tc>
          <w:tcPr/>
          <w:p w:rsidR="00000000" w:rsidDel="00000000" w:rsidP="00000000" w:rsidRDefault="00000000" w:rsidRPr="00000000" w14:paraId="00000019">
            <w:pPr>
              <w:rPr>
                <w:color w:val="000000"/>
              </w:rPr>
            </w:pPr>
            <w:r w:rsidDel="00000000" w:rsidR="00000000" w:rsidRPr="00000000">
              <w:rPr>
                <w:color w:val="000000"/>
                <w:rtl w:val="0"/>
              </w:rPr>
              <w:t xml:space="preserve">Includes costs of putting on trainings, convenings and meetings (room rental, audio visual, food, incentives, childcare, etc.) required to implement the project/program and which have not been already included under Consultants/Contractors nor Sub-Grant/Sub-Award categories.  </w:t>
            </w:r>
          </w:p>
        </w:tc>
      </w:tr>
      <w:tr>
        <w:trPr>
          <w:cantSplit w:val="0"/>
          <w:trHeight w:val="640" w:hRule="atLeast"/>
          <w:tblHeader w:val="0"/>
        </w:trPr>
        <w:tc>
          <w:tcPr/>
          <w:p w:rsidR="00000000" w:rsidDel="00000000" w:rsidP="00000000" w:rsidRDefault="00000000" w:rsidRPr="00000000" w14:paraId="0000001A">
            <w:pPr>
              <w:jc w:val="right"/>
              <w:rPr>
                <w:b w:val="1"/>
                <w:i w:val="1"/>
                <w:color w:val="000000"/>
              </w:rPr>
            </w:pPr>
            <w:r w:rsidDel="00000000" w:rsidR="00000000" w:rsidRPr="00000000">
              <w:rPr>
                <w:b w:val="1"/>
                <w:i w:val="1"/>
                <w:color w:val="000000"/>
                <w:rtl w:val="0"/>
              </w:rPr>
              <w:t xml:space="preserve">Communications</w:t>
            </w:r>
          </w:p>
        </w:tc>
        <w:tc>
          <w:tcPr/>
          <w:p w:rsidR="00000000" w:rsidDel="00000000" w:rsidP="00000000" w:rsidRDefault="00000000" w:rsidRPr="00000000" w14:paraId="0000001B">
            <w:pPr>
              <w:rPr>
                <w:color w:val="000000"/>
              </w:rPr>
            </w:pPr>
            <w:r w:rsidDel="00000000" w:rsidR="00000000" w:rsidRPr="00000000">
              <w:rPr>
                <w:color w:val="000000"/>
                <w:rtl w:val="0"/>
              </w:rPr>
              <w:t xml:space="preserve">Includes both internal and external communications and outreach related to the project.</w:t>
            </w:r>
          </w:p>
        </w:tc>
      </w:tr>
      <w:tr>
        <w:trPr>
          <w:cantSplit w:val="0"/>
          <w:trHeight w:val="640" w:hRule="atLeast"/>
          <w:tblHeader w:val="0"/>
        </w:trPr>
        <w:tc>
          <w:tcPr/>
          <w:p w:rsidR="00000000" w:rsidDel="00000000" w:rsidP="00000000" w:rsidRDefault="00000000" w:rsidRPr="00000000" w14:paraId="0000001C">
            <w:pPr>
              <w:jc w:val="right"/>
              <w:rPr>
                <w:b w:val="1"/>
                <w:i w:val="1"/>
                <w:color w:val="000000"/>
              </w:rPr>
            </w:pPr>
            <w:r w:rsidDel="00000000" w:rsidR="00000000" w:rsidRPr="00000000">
              <w:rPr>
                <w:b w:val="1"/>
                <w:i w:val="1"/>
                <w:color w:val="000000"/>
                <w:rtl w:val="0"/>
              </w:rPr>
              <w:t xml:space="preserve">Other Direct Costs</w:t>
            </w:r>
          </w:p>
        </w:tc>
        <w:tc>
          <w:tcPr/>
          <w:p w:rsidR="00000000" w:rsidDel="00000000" w:rsidP="00000000" w:rsidRDefault="00000000" w:rsidRPr="00000000" w14:paraId="0000001D">
            <w:pPr>
              <w:rPr>
                <w:color w:val="000000"/>
              </w:rPr>
            </w:pPr>
            <w:r w:rsidDel="00000000" w:rsidR="00000000" w:rsidRPr="00000000">
              <w:rPr>
                <w:color w:val="000000"/>
                <w:rtl w:val="0"/>
              </w:rPr>
              <w:t xml:space="preserve">Includes any other direct costs needed for the project/program that were not previously covered in other categories, such as expenses to pilot services/supports. Describe these expenses in the narrative and how they will advance the project/program.</w:t>
            </w:r>
          </w:p>
        </w:tc>
      </w:tr>
      <w:tr>
        <w:trPr>
          <w:cantSplit w:val="0"/>
          <w:trHeight w:val="1280" w:hRule="atLeast"/>
          <w:tblHeader w:val="0"/>
        </w:trPr>
        <w:tc>
          <w:tcPr/>
          <w:p w:rsidR="00000000" w:rsidDel="00000000" w:rsidP="00000000" w:rsidRDefault="00000000" w:rsidRPr="00000000" w14:paraId="0000001E">
            <w:pPr>
              <w:rPr>
                <w:rFonts w:ascii="Trebuchet MS" w:cs="Trebuchet MS" w:eastAsia="Trebuchet MS" w:hAnsi="Trebuchet MS"/>
                <w:b w:val="1"/>
                <w:i w:val="1"/>
                <w:color w:val="000000"/>
              </w:rPr>
            </w:pPr>
            <w:r w:rsidDel="00000000" w:rsidR="00000000" w:rsidRPr="00000000">
              <w:rPr>
                <w:rFonts w:ascii="Trebuchet MS" w:cs="Trebuchet MS" w:eastAsia="Trebuchet MS" w:hAnsi="Trebuchet MS"/>
                <w:b w:val="1"/>
                <w:i w:val="1"/>
                <w:color w:val="000000"/>
                <w:rtl w:val="0"/>
              </w:rPr>
              <w:t xml:space="preserve">INDIRECT COSTS</w:t>
            </w:r>
          </w:p>
        </w:tc>
        <w:tc>
          <w:tcPr/>
          <w:p w:rsidR="00000000" w:rsidDel="00000000" w:rsidP="00000000" w:rsidRDefault="00000000" w:rsidRPr="00000000" w14:paraId="0000001F">
            <w:pPr>
              <w:rPr>
                <w:color w:val="000000"/>
              </w:rPr>
            </w:pPr>
            <w:r w:rsidDel="00000000" w:rsidR="00000000" w:rsidRPr="00000000">
              <w:rPr>
                <w:color w:val="000000"/>
                <w:rtl w:val="0"/>
              </w:rPr>
              <w:t xml:space="preserve">Indirect costs are those expenses that are necessary for the general operation of an organization and are not specifically identified with a particular project or program and would be incurred regardless of whether the grant is funded. Examples of typical indirect costs are salaries for administrative oversight, finance, legal, rent, utilities, insurance, and maintenance. The funder allows up to </w:t>
            </w:r>
            <w:r w:rsidDel="00000000" w:rsidR="00000000" w:rsidRPr="00000000">
              <w:rPr>
                <w:color w:val="000000"/>
                <w:rtl w:val="0"/>
              </w:rPr>
              <w:t xml:space="preserve">1</w:t>
            </w:r>
            <w:r w:rsidDel="00000000" w:rsidR="00000000" w:rsidRPr="00000000">
              <w:rPr>
                <w:rtl w:val="0"/>
              </w:rPr>
              <w:t xml:space="preserve">8</w:t>
            </w:r>
            <w:r w:rsidDel="00000000" w:rsidR="00000000" w:rsidRPr="00000000">
              <w:rPr>
                <w:color w:val="000000"/>
                <w:rtl w:val="0"/>
              </w:rPr>
              <w:t xml:space="preserve">% </w:t>
            </w:r>
            <w:r w:rsidDel="00000000" w:rsidR="00000000" w:rsidRPr="00000000">
              <w:rPr>
                <w:color w:val="000000"/>
                <w:rtl w:val="0"/>
              </w:rPr>
              <w:t xml:space="preserve">of direct costs incurred to be indirect. In this case, indirect costs are calculated by multiplying direct costs by 1</w:t>
            </w:r>
            <w:r w:rsidDel="00000000" w:rsidR="00000000" w:rsidRPr="00000000">
              <w:rPr>
                <w:rtl w:val="0"/>
              </w:rPr>
              <w:t xml:space="preserve">8</w:t>
            </w:r>
            <w:r w:rsidDel="00000000" w:rsidR="00000000" w:rsidRPr="00000000">
              <w:rPr>
                <w:color w:val="000000"/>
                <w:rtl w:val="0"/>
              </w:rPr>
              <w:t xml:space="preserve">%.</w:t>
            </w:r>
          </w:p>
        </w:tc>
      </w:tr>
    </w:tbl>
    <w:p w:rsidR="00000000" w:rsidDel="00000000" w:rsidP="00000000" w:rsidRDefault="00000000" w:rsidRPr="00000000" w14:paraId="00000020">
      <w:pPr>
        <w:spacing w:line="240" w:lineRule="auto"/>
        <w:rPr>
          <w:rFonts w:ascii="Arial" w:cs="Arial" w:eastAsia="Arial" w:hAnsi="Arial"/>
          <w:b w:val="1"/>
          <w:sz w:val="2"/>
          <w:szCs w:val="2"/>
          <w:u w:val="single"/>
        </w:rPr>
      </w:pPr>
      <w:r w:rsidDel="00000000" w:rsidR="00000000" w:rsidRPr="00000000">
        <w:rPr>
          <w:rtl w:val="0"/>
        </w:rPr>
      </w:r>
    </w:p>
    <w:p w:rsidR="00000000" w:rsidDel="00000000" w:rsidP="00000000" w:rsidRDefault="00000000" w:rsidRPr="00000000" w14:paraId="00000021">
      <w:pPr>
        <w:spacing w:line="240" w:lineRule="auto"/>
        <w:rPr>
          <w:rFonts w:ascii="Arial" w:cs="Arial" w:eastAsia="Arial" w:hAnsi="Arial"/>
          <w:b w:val="1"/>
          <w:color w:val="ed7d31"/>
          <w:u w:val="single"/>
        </w:rPr>
      </w:pPr>
      <w:r w:rsidDel="00000000" w:rsidR="00000000" w:rsidRPr="00000000">
        <w:rPr>
          <w:rFonts w:ascii="Arial" w:cs="Arial" w:eastAsia="Arial" w:hAnsi="Arial"/>
          <w:b w:val="1"/>
          <w:color w:val="ed7d31"/>
          <w:u w:val="single"/>
          <w:rtl w:val="0"/>
        </w:rPr>
        <w:t xml:space="preserve">Budget Template</w:t>
      </w:r>
    </w:p>
    <w:p w:rsidR="00000000" w:rsidDel="00000000" w:rsidP="00000000" w:rsidRDefault="00000000" w:rsidRPr="00000000" w14:paraId="00000022">
      <w:pPr>
        <w:spacing w:line="240" w:lineRule="auto"/>
        <w:rPr>
          <w:rFonts w:ascii="Arial" w:cs="Arial" w:eastAsia="Arial" w:hAnsi="Arial"/>
        </w:rPr>
      </w:pPr>
      <w:r w:rsidDel="00000000" w:rsidR="00000000" w:rsidRPr="00000000">
        <w:rPr>
          <w:rFonts w:ascii="Arial" w:cs="Arial" w:eastAsia="Arial" w:hAnsi="Arial"/>
          <w:rtl w:val="0"/>
        </w:rPr>
        <w:t xml:space="preserve">Fill out the budget template below using the category definitions provided. Do not add or edit budget categories. This template should only contain dollar amounts. Descriptions will be provided in the space for a budget narrative below the template.</w:t>
      </w:r>
    </w:p>
    <w:tbl>
      <w:tblPr>
        <w:tblStyle w:val="Table2"/>
        <w:tblW w:w="963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5760"/>
        <w:tblGridChange w:id="0">
          <w:tblGrid>
            <w:gridCol w:w="3870"/>
            <w:gridCol w:w="5760"/>
          </w:tblGrid>
        </w:tblGridChange>
      </w:tblGrid>
      <w:tr>
        <w:trPr>
          <w:cantSplit w:val="0"/>
          <w:trHeight w:val="320" w:hRule="atLeast"/>
          <w:tblHeader w:val="0"/>
        </w:trPr>
        <w:tc>
          <w:tcPr>
            <w:shd w:fill="bfbfbf" w:val="clear"/>
          </w:tcPr>
          <w:p w:rsidR="00000000" w:rsidDel="00000000" w:rsidP="00000000" w:rsidRDefault="00000000" w:rsidRPr="00000000" w14:paraId="00000023">
            <w:pPr>
              <w:rPr>
                <w:b w:val="1"/>
                <w:i w:val="1"/>
                <w:color w:val="000000"/>
              </w:rPr>
            </w:pPr>
            <w:r w:rsidDel="00000000" w:rsidR="00000000" w:rsidRPr="00000000">
              <w:rPr>
                <w:b w:val="1"/>
                <w:i w:val="1"/>
                <w:color w:val="000000"/>
                <w:rtl w:val="0"/>
              </w:rPr>
              <w:t xml:space="preserve">PROJECT EXPENSES</w:t>
            </w:r>
          </w:p>
        </w:tc>
        <w:tc>
          <w:tcPr>
            <w:shd w:fill="bfbfbf" w:val="clear"/>
          </w:tcPr>
          <w:p w:rsidR="00000000" w:rsidDel="00000000" w:rsidP="00000000" w:rsidRDefault="00000000" w:rsidRPr="00000000" w14:paraId="00000024">
            <w:pPr>
              <w:rPr>
                <w:color w:val="000000"/>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25">
            <w:pPr>
              <w:jc w:val="right"/>
              <w:rPr>
                <w:b w:val="1"/>
                <w:i w:val="1"/>
                <w:color w:val="000000"/>
              </w:rPr>
            </w:pPr>
            <w:r w:rsidDel="00000000" w:rsidR="00000000" w:rsidRPr="00000000">
              <w:rPr>
                <w:b w:val="1"/>
                <w:i w:val="1"/>
                <w:color w:val="000000"/>
                <w:rtl w:val="0"/>
              </w:rPr>
              <w:t xml:space="preserve">Salaries and Benefits</w:t>
            </w:r>
          </w:p>
        </w:tc>
        <w:tc>
          <w:tcPr/>
          <w:p w:rsidR="00000000" w:rsidDel="00000000" w:rsidP="00000000" w:rsidRDefault="00000000" w:rsidRPr="00000000" w14:paraId="00000026">
            <w:pPr>
              <w:rPr>
                <w:color w:val="000000"/>
              </w:rPr>
            </w:pPr>
            <w:r w:rsidDel="00000000" w:rsidR="00000000" w:rsidRPr="00000000">
              <w:rPr>
                <w:color w:val="000000"/>
                <w:rtl w:val="0"/>
              </w:rPr>
              <w:t xml:space="preserve">$0</w:t>
            </w:r>
          </w:p>
        </w:tc>
      </w:tr>
      <w:tr>
        <w:trPr>
          <w:cantSplit w:val="0"/>
          <w:trHeight w:val="377" w:hRule="atLeast"/>
          <w:tblHeader w:val="0"/>
        </w:trPr>
        <w:tc>
          <w:tcPr/>
          <w:p w:rsidR="00000000" w:rsidDel="00000000" w:rsidP="00000000" w:rsidRDefault="00000000" w:rsidRPr="00000000" w14:paraId="00000027">
            <w:pPr>
              <w:jc w:val="right"/>
              <w:rPr>
                <w:b w:val="1"/>
                <w:i w:val="1"/>
                <w:color w:val="000000"/>
              </w:rPr>
            </w:pPr>
            <w:r w:rsidDel="00000000" w:rsidR="00000000" w:rsidRPr="00000000">
              <w:rPr>
                <w:b w:val="1"/>
                <w:i w:val="1"/>
                <w:color w:val="000000"/>
                <w:rtl w:val="0"/>
              </w:rPr>
              <w:t xml:space="preserve">Consultants</w:t>
            </w:r>
          </w:p>
        </w:tc>
        <w:tc>
          <w:tcPr/>
          <w:p w:rsidR="00000000" w:rsidDel="00000000" w:rsidP="00000000" w:rsidRDefault="00000000" w:rsidRPr="00000000" w14:paraId="00000028">
            <w:pPr>
              <w:rPr>
                <w:color w:val="000000"/>
              </w:rPr>
            </w:pPr>
            <w:r w:rsidDel="00000000" w:rsidR="00000000" w:rsidRPr="00000000">
              <w:rPr>
                <w:color w:val="000000"/>
                <w:rtl w:val="0"/>
              </w:rPr>
              <w:t xml:space="preserve">$0</w:t>
            </w:r>
          </w:p>
        </w:tc>
      </w:tr>
      <w:tr>
        <w:trPr>
          <w:cantSplit w:val="0"/>
          <w:trHeight w:val="350" w:hRule="atLeast"/>
          <w:tblHeader w:val="0"/>
        </w:trPr>
        <w:tc>
          <w:tcPr/>
          <w:p w:rsidR="00000000" w:rsidDel="00000000" w:rsidP="00000000" w:rsidRDefault="00000000" w:rsidRPr="00000000" w14:paraId="00000029">
            <w:pPr>
              <w:jc w:val="right"/>
              <w:rPr>
                <w:b w:val="1"/>
                <w:i w:val="1"/>
                <w:color w:val="000000"/>
              </w:rPr>
            </w:pPr>
            <w:r w:rsidDel="00000000" w:rsidR="00000000" w:rsidRPr="00000000">
              <w:rPr>
                <w:b w:val="1"/>
                <w:i w:val="1"/>
                <w:color w:val="000000"/>
                <w:rtl w:val="0"/>
              </w:rPr>
              <w:t xml:space="preserve">Travel</w:t>
            </w:r>
          </w:p>
        </w:tc>
        <w:tc>
          <w:tcPr/>
          <w:p w:rsidR="00000000" w:rsidDel="00000000" w:rsidP="00000000" w:rsidRDefault="00000000" w:rsidRPr="00000000" w14:paraId="0000002A">
            <w:pPr>
              <w:rPr>
                <w:color w:val="000000"/>
              </w:rPr>
            </w:pPr>
            <w:r w:rsidDel="00000000" w:rsidR="00000000" w:rsidRPr="00000000">
              <w:rPr>
                <w:color w:val="000000"/>
                <w:rtl w:val="0"/>
              </w:rPr>
              <w:t xml:space="preserve">$0</w:t>
            </w:r>
          </w:p>
        </w:tc>
      </w:tr>
      <w:tr>
        <w:trPr>
          <w:cantSplit w:val="0"/>
          <w:trHeight w:val="620" w:hRule="atLeast"/>
          <w:tblHeader w:val="0"/>
        </w:trPr>
        <w:tc>
          <w:tcPr/>
          <w:p w:rsidR="00000000" w:rsidDel="00000000" w:rsidP="00000000" w:rsidRDefault="00000000" w:rsidRPr="00000000" w14:paraId="0000002B">
            <w:pPr>
              <w:jc w:val="right"/>
              <w:rPr>
                <w:b w:val="1"/>
                <w:i w:val="1"/>
                <w:color w:val="000000"/>
              </w:rPr>
            </w:pPr>
            <w:r w:rsidDel="00000000" w:rsidR="00000000" w:rsidRPr="00000000">
              <w:rPr>
                <w:b w:val="1"/>
                <w:i w:val="1"/>
                <w:color w:val="000000"/>
                <w:rtl w:val="0"/>
              </w:rPr>
              <w:t xml:space="preserve">Supplies/Equipment/ Technology</w:t>
            </w:r>
          </w:p>
        </w:tc>
        <w:tc>
          <w:tcPr/>
          <w:p w:rsidR="00000000" w:rsidDel="00000000" w:rsidP="00000000" w:rsidRDefault="00000000" w:rsidRPr="00000000" w14:paraId="0000002C">
            <w:pPr>
              <w:rPr>
                <w:color w:val="000000"/>
              </w:rPr>
            </w:pPr>
            <w:r w:rsidDel="00000000" w:rsidR="00000000" w:rsidRPr="00000000">
              <w:rPr>
                <w:color w:val="000000"/>
                <w:rtl w:val="0"/>
              </w:rPr>
              <w:t xml:space="preserve">$0</w:t>
            </w:r>
          </w:p>
        </w:tc>
      </w:tr>
      <w:tr>
        <w:trPr>
          <w:cantSplit w:val="0"/>
          <w:trHeight w:val="350" w:hRule="atLeast"/>
          <w:tblHeader w:val="0"/>
        </w:trPr>
        <w:tc>
          <w:tcPr/>
          <w:p w:rsidR="00000000" w:rsidDel="00000000" w:rsidP="00000000" w:rsidRDefault="00000000" w:rsidRPr="00000000" w14:paraId="0000002D">
            <w:pPr>
              <w:jc w:val="right"/>
              <w:rPr>
                <w:b w:val="1"/>
                <w:i w:val="1"/>
                <w:color w:val="000000"/>
              </w:rPr>
            </w:pPr>
            <w:r w:rsidDel="00000000" w:rsidR="00000000" w:rsidRPr="00000000">
              <w:rPr>
                <w:b w:val="1"/>
                <w:i w:val="1"/>
                <w:color w:val="000000"/>
                <w:rtl w:val="0"/>
              </w:rPr>
              <w:t xml:space="preserve">Convenings/Meetings</w:t>
            </w:r>
          </w:p>
        </w:tc>
        <w:tc>
          <w:tcPr/>
          <w:p w:rsidR="00000000" w:rsidDel="00000000" w:rsidP="00000000" w:rsidRDefault="00000000" w:rsidRPr="00000000" w14:paraId="0000002E">
            <w:pPr>
              <w:rPr>
                <w:color w:val="000000"/>
              </w:rPr>
            </w:pPr>
            <w:r w:rsidDel="00000000" w:rsidR="00000000" w:rsidRPr="00000000">
              <w:rPr>
                <w:color w:val="000000"/>
                <w:rtl w:val="0"/>
              </w:rPr>
              <w:t xml:space="preserve">$0</w:t>
            </w:r>
          </w:p>
        </w:tc>
      </w:tr>
      <w:tr>
        <w:trPr>
          <w:cantSplit w:val="0"/>
          <w:trHeight w:val="350" w:hRule="atLeast"/>
          <w:tblHeader w:val="0"/>
        </w:trPr>
        <w:tc>
          <w:tcPr/>
          <w:p w:rsidR="00000000" w:rsidDel="00000000" w:rsidP="00000000" w:rsidRDefault="00000000" w:rsidRPr="00000000" w14:paraId="0000002F">
            <w:pPr>
              <w:jc w:val="right"/>
              <w:rPr>
                <w:b w:val="1"/>
                <w:i w:val="1"/>
                <w:color w:val="000000"/>
              </w:rPr>
            </w:pPr>
            <w:r w:rsidDel="00000000" w:rsidR="00000000" w:rsidRPr="00000000">
              <w:rPr>
                <w:b w:val="1"/>
                <w:i w:val="1"/>
                <w:color w:val="000000"/>
                <w:rtl w:val="0"/>
              </w:rPr>
              <w:t xml:space="preserve">Communications</w:t>
            </w:r>
          </w:p>
        </w:tc>
        <w:tc>
          <w:tcPr/>
          <w:p w:rsidR="00000000" w:rsidDel="00000000" w:rsidP="00000000" w:rsidRDefault="00000000" w:rsidRPr="00000000" w14:paraId="00000030">
            <w:pPr>
              <w:rPr>
                <w:color w:val="000000"/>
              </w:rPr>
            </w:pPr>
            <w:r w:rsidDel="00000000" w:rsidR="00000000" w:rsidRPr="00000000">
              <w:rPr>
                <w:color w:val="000000"/>
                <w:rtl w:val="0"/>
              </w:rPr>
              <w:t xml:space="preserve">$0</w:t>
            </w:r>
          </w:p>
        </w:tc>
      </w:tr>
      <w:tr>
        <w:trPr>
          <w:cantSplit w:val="0"/>
          <w:trHeight w:val="350" w:hRule="atLeast"/>
          <w:tblHeader w:val="0"/>
        </w:trPr>
        <w:tc>
          <w:tcPr/>
          <w:p w:rsidR="00000000" w:rsidDel="00000000" w:rsidP="00000000" w:rsidRDefault="00000000" w:rsidRPr="00000000" w14:paraId="00000031">
            <w:pPr>
              <w:jc w:val="right"/>
              <w:rPr>
                <w:b w:val="1"/>
                <w:i w:val="1"/>
                <w:color w:val="000000"/>
              </w:rPr>
            </w:pPr>
            <w:r w:rsidDel="00000000" w:rsidR="00000000" w:rsidRPr="00000000">
              <w:rPr>
                <w:b w:val="1"/>
                <w:i w:val="1"/>
                <w:color w:val="000000"/>
                <w:rtl w:val="0"/>
              </w:rPr>
              <w:t xml:space="preserve">Other Direct Costs</w:t>
            </w:r>
          </w:p>
        </w:tc>
        <w:tc>
          <w:tcPr/>
          <w:p w:rsidR="00000000" w:rsidDel="00000000" w:rsidP="00000000" w:rsidRDefault="00000000" w:rsidRPr="00000000" w14:paraId="00000032">
            <w:pPr>
              <w:rPr>
                <w:color w:val="000000"/>
              </w:rPr>
            </w:pPr>
            <w:r w:rsidDel="00000000" w:rsidR="00000000" w:rsidRPr="00000000">
              <w:rPr>
                <w:color w:val="000000"/>
                <w:rtl w:val="0"/>
              </w:rPr>
              <w:t xml:space="preserve">$0</w:t>
            </w:r>
          </w:p>
        </w:tc>
      </w:tr>
      <w:tr>
        <w:trPr>
          <w:cantSplit w:val="0"/>
          <w:trHeight w:val="350" w:hRule="atLeast"/>
          <w:tblHeader w:val="0"/>
        </w:trPr>
        <w:tc>
          <w:tcPr/>
          <w:p w:rsidR="00000000" w:rsidDel="00000000" w:rsidP="00000000" w:rsidRDefault="00000000" w:rsidRPr="00000000" w14:paraId="00000033">
            <w:pPr>
              <w:rPr>
                <w:b w:val="1"/>
                <w:i w:val="1"/>
                <w:color w:val="000000"/>
              </w:rPr>
            </w:pPr>
            <w:r w:rsidDel="00000000" w:rsidR="00000000" w:rsidRPr="00000000">
              <w:rPr>
                <w:b w:val="1"/>
                <w:i w:val="1"/>
                <w:color w:val="000000"/>
                <w:rtl w:val="0"/>
              </w:rPr>
              <w:t xml:space="preserve">TOTAL DIRECT COSTS</w:t>
            </w:r>
          </w:p>
        </w:tc>
        <w:tc>
          <w:tcPr/>
          <w:p w:rsidR="00000000" w:rsidDel="00000000" w:rsidP="00000000" w:rsidRDefault="00000000" w:rsidRPr="00000000" w14:paraId="00000034">
            <w:pPr>
              <w:rPr>
                <w:color w:val="000000"/>
              </w:rPr>
            </w:pPr>
            <w:r w:rsidDel="00000000" w:rsidR="00000000" w:rsidRPr="00000000">
              <w:rPr>
                <w:color w:val="000000"/>
                <w:rtl w:val="0"/>
              </w:rPr>
              <w:t xml:space="preserve">$0</w:t>
            </w:r>
          </w:p>
        </w:tc>
      </w:tr>
      <w:tr>
        <w:trPr>
          <w:cantSplit w:val="0"/>
          <w:trHeight w:val="620" w:hRule="atLeast"/>
          <w:tblHeader w:val="0"/>
        </w:trPr>
        <w:tc>
          <w:tcPr/>
          <w:p w:rsidR="00000000" w:rsidDel="00000000" w:rsidP="00000000" w:rsidRDefault="00000000" w:rsidRPr="00000000" w14:paraId="00000035">
            <w:pPr>
              <w:rPr>
                <w:b w:val="1"/>
                <w:i w:val="1"/>
                <w:color w:val="000000"/>
              </w:rPr>
            </w:pPr>
            <w:r w:rsidDel="00000000" w:rsidR="00000000" w:rsidRPr="00000000">
              <w:rPr>
                <w:b w:val="1"/>
                <w:i w:val="1"/>
                <w:color w:val="000000"/>
                <w:rtl w:val="0"/>
              </w:rPr>
              <w:t xml:space="preserve">INDIRECT COSTS </w:t>
            </w:r>
            <w:r w:rsidDel="00000000" w:rsidR="00000000" w:rsidRPr="00000000">
              <w:rPr>
                <w:i w:val="1"/>
                <w:color w:val="000000"/>
                <w:rtl w:val="0"/>
              </w:rPr>
              <w:t xml:space="preserve">(up to 1</w:t>
            </w:r>
            <w:r w:rsidDel="00000000" w:rsidR="00000000" w:rsidRPr="00000000">
              <w:rPr>
                <w:i w:val="1"/>
                <w:rtl w:val="0"/>
              </w:rPr>
              <w:t xml:space="preserve">8</w:t>
            </w:r>
            <w:r w:rsidDel="00000000" w:rsidR="00000000" w:rsidRPr="00000000">
              <w:rPr>
                <w:i w:val="1"/>
                <w:color w:val="000000"/>
                <w:rtl w:val="0"/>
              </w:rPr>
              <w:t xml:space="preserve">% maximum)</w:t>
            </w:r>
            <w:r w:rsidDel="00000000" w:rsidR="00000000" w:rsidRPr="00000000">
              <w:rPr>
                <w:rtl w:val="0"/>
              </w:rPr>
            </w:r>
          </w:p>
        </w:tc>
        <w:tc>
          <w:tcPr/>
          <w:p w:rsidR="00000000" w:rsidDel="00000000" w:rsidP="00000000" w:rsidRDefault="00000000" w:rsidRPr="00000000" w14:paraId="00000036">
            <w:pPr>
              <w:rPr>
                <w:color w:val="000000"/>
              </w:rPr>
            </w:pPr>
            <w:r w:rsidDel="00000000" w:rsidR="00000000" w:rsidRPr="00000000">
              <w:rPr>
                <w:color w:val="000000"/>
                <w:rtl w:val="0"/>
              </w:rPr>
              <w:t xml:space="preserve">$0</w:t>
            </w:r>
          </w:p>
        </w:tc>
      </w:tr>
      <w:tr>
        <w:trPr>
          <w:cantSplit w:val="0"/>
          <w:trHeight w:val="620" w:hRule="atLeast"/>
          <w:tblHeader w:val="0"/>
        </w:trPr>
        <w:tc>
          <w:tcPr/>
          <w:p w:rsidR="00000000" w:rsidDel="00000000" w:rsidP="00000000" w:rsidRDefault="00000000" w:rsidRPr="00000000" w14:paraId="00000037">
            <w:pPr>
              <w:rPr>
                <w:rFonts w:ascii="Trebuchet MS" w:cs="Trebuchet MS" w:eastAsia="Trebuchet MS" w:hAnsi="Trebuchet MS"/>
                <w:b w:val="1"/>
                <w:i w:val="1"/>
                <w:color w:val="000000"/>
              </w:rPr>
            </w:pPr>
            <w:r w:rsidDel="00000000" w:rsidR="00000000" w:rsidRPr="00000000">
              <w:rPr>
                <w:rFonts w:ascii="Trebuchet MS" w:cs="Trebuchet MS" w:eastAsia="Trebuchet MS" w:hAnsi="Trebuchet MS"/>
                <w:b w:val="1"/>
                <w:i w:val="1"/>
                <w:color w:val="000000"/>
                <w:rtl w:val="0"/>
              </w:rPr>
              <w:t xml:space="preserve">Total Project Expenses</w:t>
            </w:r>
          </w:p>
        </w:tc>
        <w:tc>
          <w:tcPr/>
          <w:p w:rsidR="00000000" w:rsidDel="00000000" w:rsidP="00000000" w:rsidRDefault="00000000" w:rsidRPr="00000000" w14:paraId="00000038">
            <w:pPr>
              <w:rPr>
                <w:color w:val="000000"/>
              </w:rPr>
            </w:pPr>
            <w:r w:rsidDel="00000000" w:rsidR="00000000" w:rsidRPr="00000000">
              <w:rPr>
                <w:color w:val="000000"/>
                <w:rtl w:val="0"/>
              </w:rPr>
              <w:t xml:space="preserve">$0</w:t>
            </w:r>
          </w:p>
        </w:tc>
      </w:tr>
    </w:tbl>
    <w:p w:rsidR="00000000" w:rsidDel="00000000" w:rsidP="00000000" w:rsidRDefault="00000000" w:rsidRPr="00000000" w14:paraId="00000039">
      <w:pPr>
        <w:spacing w:line="240" w:lineRule="auto"/>
        <w:rPr>
          <w:rFonts w:ascii="Arial" w:cs="Arial" w:eastAsia="Arial" w:hAnsi="Arial"/>
          <w:b w:val="1"/>
          <w:sz w:val="2"/>
          <w:szCs w:val="2"/>
          <w:u w:val="single"/>
        </w:rPr>
      </w:pPr>
      <w:r w:rsidDel="00000000" w:rsidR="00000000" w:rsidRPr="00000000">
        <w:rPr>
          <w:rtl w:val="0"/>
        </w:rPr>
      </w:r>
    </w:p>
    <w:p w:rsidR="00000000" w:rsidDel="00000000" w:rsidP="00000000" w:rsidRDefault="00000000" w:rsidRPr="00000000" w14:paraId="0000003A">
      <w:pPr>
        <w:spacing w:line="240" w:lineRule="auto"/>
        <w:rPr>
          <w:rFonts w:ascii="Arial" w:cs="Arial" w:eastAsia="Arial" w:hAnsi="Arial"/>
          <w:b w:val="1"/>
          <w:color w:val="ed7d31"/>
          <w:u w:val="single"/>
        </w:rPr>
      </w:pPr>
      <w:r w:rsidDel="00000000" w:rsidR="00000000" w:rsidRPr="00000000">
        <w:rPr>
          <w:rFonts w:ascii="Arial" w:cs="Arial" w:eastAsia="Arial" w:hAnsi="Arial"/>
          <w:b w:val="1"/>
          <w:color w:val="ed7d31"/>
          <w:u w:val="single"/>
          <w:rtl w:val="0"/>
        </w:rPr>
        <w:t xml:space="preserve">Budget Narrative</w:t>
      </w:r>
    </w:p>
    <w:p w:rsidR="00000000" w:rsidDel="00000000" w:rsidP="00000000" w:rsidRDefault="00000000" w:rsidRPr="00000000" w14:paraId="0000003B">
      <w:pPr>
        <w:spacing w:line="240" w:lineRule="auto"/>
        <w:rPr>
          <w:rFonts w:ascii="Arial" w:cs="Arial" w:eastAsia="Arial" w:hAnsi="Arial"/>
        </w:rPr>
      </w:pPr>
      <w:r w:rsidDel="00000000" w:rsidR="00000000" w:rsidRPr="00000000">
        <w:rPr>
          <w:rFonts w:ascii="Arial" w:cs="Arial" w:eastAsia="Arial" w:hAnsi="Arial"/>
          <w:rtl w:val="0"/>
        </w:rPr>
        <w:t xml:space="preserve">Provide a brief narrative description of how funding will be used for each budget category.</w:t>
      </w:r>
    </w:p>
    <w:tbl>
      <w:tblPr>
        <w:tblStyle w:val="Table3"/>
        <w:tblW w:w="963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6480"/>
        <w:tblGridChange w:id="0">
          <w:tblGrid>
            <w:gridCol w:w="3150"/>
            <w:gridCol w:w="6480"/>
          </w:tblGrid>
        </w:tblGridChange>
      </w:tblGrid>
      <w:tr>
        <w:trPr>
          <w:cantSplit w:val="0"/>
          <w:trHeight w:val="320" w:hRule="atLeast"/>
          <w:tblHeader w:val="0"/>
        </w:trPr>
        <w:tc>
          <w:tcPr>
            <w:shd w:fill="bfbfbf" w:val="clear"/>
          </w:tcPr>
          <w:p w:rsidR="00000000" w:rsidDel="00000000" w:rsidP="00000000" w:rsidRDefault="00000000" w:rsidRPr="00000000" w14:paraId="0000003C">
            <w:pPr>
              <w:rPr>
                <w:b w:val="1"/>
                <w:i w:val="1"/>
                <w:color w:val="000000"/>
              </w:rPr>
            </w:pPr>
            <w:r w:rsidDel="00000000" w:rsidR="00000000" w:rsidRPr="00000000">
              <w:rPr>
                <w:b w:val="1"/>
                <w:i w:val="1"/>
                <w:color w:val="000000"/>
                <w:rtl w:val="0"/>
              </w:rPr>
              <w:t xml:space="preserve">PROJECT EXPENSES</w:t>
            </w:r>
          </w:p>
        </w:tc>
        <w:tc>
          <w:tcPr>
            <w:shd w:fill="bfbfbf" w:val="clear"/>
          </w:tcPr>
          <w:p w:rsidR="00000000" w:rsidDel="00000000" w:rsidP="00000000" w:rsidRDefault="00000000" w:rsidRPr="00000000" w14:paraId="0000003D">
            <w:pPr>
              <w:rPr>
                <w:color w:val="000000"/>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3E">
            <w:pPr>
              <w:jc w:val="right"/>
              <w:rPr>
                <w:b w:val="1"/>
                <w:i w:val="1"/>
                <w:color w:val="000000"/>
              </w:rPr>
            </w:pPr>
            <w:r w:rsidDel="00000000" w:rsidR="00000000" w:rsidRPr="00000000">
              <w:rPr>
                <w:b w:val="1"/>
                <w:i w:val="1"/>
                <w:color w:val="000000"/>
                <w:rtl w:val="0"/>
              </w:rPr>
              <w:t xml:space="preserve">Salaries and Benefits</w:t>
            </w:r>
          </w:p>
        </w:tc>
        <w:tc>
          <w:tcPr/>
          <w:p w:rsidR="00000000" w:rsidDel="00000000" w:rsidP="00000000" w:rsidRDefault="00000000" w:rsidRPr="00000000" w14:paraId="0000003F">
            <w:pPr>
              <w:rPr>
                <w:color w:val="000000"/>
              </w:rPr>
            </w:pP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40">
            <w:pPr>
              <w:jc w:val="right"/>
              <w:rPr>
                <w:b w:val="1"/>
                <w:i w:val="1"/>
                <w:color w:val="000000"/>
              </w:rPr>
            </w:pPr>
            <w:r w:rsidDel="00000000" w:rsidR="00000000" w:rsidRPr="00000000">
              <w:rPr>
                <w:b w:val="1"/>
                <w:i w:val="1"/>
                <w:color w:val="000000"/>
                <w:rtl w:val="0"/>
              </w:rPr>
              <w:t xml:space="preserve">Consultants</w:t>
            </w:r>
          </w:p>
        </w:tc>
        <w:tc>
          <w:tcPr/>
          <w:p w:rsidR="00000000" w:rsidDel="00000000" w:rsidP="00000000" w:rsidRDefault="00000000" w:rsidRPr="00000000" w14:paraId="00000041">
            <w:pPr>
              <w:rPr>
                <w:color w:val="00000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42">
            <w:pPr>
              <w:jc w:val="right"/>
              <w:rPr>
                <w:b w:val="1"/>
                <w:i w:val="1"/>
                <w:color w:val="000000"/>
              </w:rPr>
            </w:pPr>
            <w:r w:rsidDel="00000000" w:rsidR="00000000" w:rsidRPr="00000000">
              <w:rPr>
                <w:b w:val="1"/>
                <w:i w:val="1"/>
                <w:color w:val="000000"/>
                <w:rtl w:val="0"/>
              </w:rPr>
              <w:t xml:space="preserve">Travel</w:t>
            </w:r>
          </w:p>
        </w:tc>
        <w:tc>
          <w:tcPr/>
          <w:p w:rsidR="00000000" w:rsidDel="00000000" w:rsidP="00000000" w:rsidRDefault="00000000" w:rsidRPr="00000000" w14:paraId="00000043">
            <w:pPr>
              <w:rPr>
                <w:color w:val="00000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44">
            <w:pPr>
              <w:jc w:val="right"/>
              <w:rPr>
                <w:b w:val="1"/>
                <w:i w:val="1"/>
                <w:color w:val="000000"/>
              </w:rPr>
            </w:pPr>
            <w:r w:rsidDel="00000000" w:rsidR="00000000" w:rsidRPr="00000000">
              <w:rPr>
                <w:b w:val="1"/>
                <w:i w:val="1"/>
                <w:color w:val="000000"/>
                <w:rtl w:val="0"/>
              </w:rPr>
              <w:t xml:space="preserve">Supplies/Equipment/ Technology</w:t>
            </w:r>
          </w:p>
        </w:tc>
        <w:tc>
          <w:tcPr/>
          <w:p w:rsidR="00000000" w:rsidDel="00000000" w:rsidP="00000000" w:rsidRDefault="00000000" w:rsidRPr="00000000" w14:paraId="00000045">
            <w:pPr>
              <w:rPr>
                <w:color w:val="00000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46">
            <w:pPr>
              <w:jc w:val="right"/>
              <w:rPr>
                <w:b w:val="1"/>
                <w:i w:val="1"/>
                <w:color w:val="000000"/>
              </w:rPr>
            </w:pPr>
            <w:r w:rsidDel="00000000" w:rsidR="00000000" w:rsidRPr="00000000">
              <w:rPr>
                <w:b w:val="1"/>
                <w:i w:val="1"/>
                <w:color w:val="000000"/>
                <w:rtl w:val="0"/>
              </w:rPr>
              <w:t xml:space="preserve">Convenings/Meetings</w:t>
            </w:r>
          </w:p>
        </w:tc>
        <w:tc>
          <w:tcPr/>
          <w:p w:rsidR="00000000" w:rsidDel="00000000" w:rsidP="00000000" w:rsidRDefault="00000000" w:rsidRPr="00000000" w14:paraId="00000047">
            <w:pPr>
              <w:rPr>
                <w:color w:val="00000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48">
            <w:pPr>
              <w:jc w:val="right"/>
              <w:rPr>
                <w:b w:val="1"/>
                <w:i w:val="1"/>
                <w:color w:val="000000"/>
              </w:rPr>
            </w:pPr>
            <w:r w:rsidDel="00000000" w:rsidR="00000000" w:rsidRPr="00000000">
              <w:rPr>
                <w:b w:val="1"/>
                <w:i w:val="1"/>
                <w:color w:val="000000"/>
                <w:rtl w:val="0"/>
              </w:rPr>
              <w:t xml:space="preserve">Communications</w:t>
            </w:r>
          </w:p>
        </w:tc>
        <w:tc>
          <w:tcPr/>
          <w:p w:rsidR="00000000" w:rsidDel="00000000" w:rsidP="00000000" w:rsidRDefault="00000000" w:rsidRPr="00000000" w14:paraId="00000049">
            <w:pPr>
              <w:rPr>
                <w:color w:val="00000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4A">
            <w:pPr>
              <w:jc w:val="right"/>
              <w:rPr>
                <w:b w:val="1"/>
                <w:i w:val="1"/>
                <w:color w:val="000000"/>
              </w:rPr>
            </w:pPr>
            <w:r w:rsidDel="00000000" w:rsidR="00000000" w:rsidRPr="00000000">
              <w:rPr>
                <w:b w:val="1"/>
                <w:i w:val="1"/>
                <w:color w:val="000000"/>
                <w:rtl w:val="0"/>
              </w:rPr>
              <w:t xml:space="preserve">Other Direct Costs</w:t>
            </w:r>
          </w:p>
        </w:tc>
        <w:tc>
          <w:tcPr/>
          <w:p w:rsidR="00000000" w:rsidDel="00000000" w:rsidP="00000000" w:rsidRDefault="00000000" w:rsidRPr="00000000" w14:paraId="0000004B">
            <w:pPr>
              <w:rPr>
                <w:color w:val="00000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4C">
            <w:pPr>
              <w:rPr>
                <w:b w:val="1"/>
                <w:i w:val="1"/>
                <w:color w:val="000000"/>
              </w:rPr>
            </w:pPr>
            <w:r w:rsidDel="00000000" w:rsidR="00000000" w:rsidRPr="00000000">
              <w:rPr>
                <w:b w:val="1"/>
                <w:i w:val="1"/>
                <w:color w:val="000000"/>
                <w:rtl w:val="0"/>
              </w:rPr>
              <w:t xml:space="preserve">INDIRECT COSTS </w:t>
            </w:r>
          </w:p>
        </w:tc>
        <w:tc>
          <w:tcPr/>
          <w:p w:rsidR="00000000" w:rsidDel="00000000" w:rsidP="00000000" w:rsidRDefault="00000000" w:rsidRPr="00000000" w14:paraId="0000004D">
            <w:pPr>
              <w:rPr>
                <w:color w:val="000000"/>
              </w:rPr>
            </w:pPr>
            <w:r w:rsidDel="00000000" w:rsidR="00000000" w:rsidRPr="00000000">
              <w:rPr>
                <w:rtl w:val="0"/>
              </w:rPr>
            </w:r>
          </w:p>
        </w:tc>
      </w:tr>
    </w:tbl>
    <w:p w:rsidR="00000000" w:rsidDel="00000000" w:rsidP="00000000" w:rsidRDefault="00000000" w:rsidRPr="00000000" w14:paraId="0000004E">
      <w:pPr>
        <w:spacing w:line="240" w:lineRule="auto"/>
        <w:rPr>
          <w:rFonts w:ascii="Arial" w:cs="Arial" w:eastAsia="Arial" w:hAnsi="Arial"/>
          <w:b w:val="1"/>
          <w:color w:val="0070c0"/>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tabs>
        <w:tab w:val="center" w:leader="none" w:pos="4680"/>
        <w:tab w:val="right" w:leader="none" w:pos="9360"/>
      </w:tabs>
      <w:spacing w:after="240" w:before="240" w:line="240" w:lineRule="auto"/>
      <w:rPr>
        <w:rFonts w:ascii="Arial" w:cs="Arial" w:eastAsia="Arial" w:hAnsi="Arial"/>
        <w:b w:val="1"/>
        <w:color w:val="00497b"/>
      </w:rPr>
    </w:pPr>
    <w:r w:rsidDel="00000000" w:rsidR="00000000" w:rsidRPr="00000000">
      <w:rPr>
        <w:rFonts w:ascii="Arial" w:cs="Arial" w:eastAsia="Arial" w:hAnsi="Arial"/>
        <w:b w:val="1"/>
        <w:color w:val="00497b"/>
        <w:sz w:val="18"/>
        <w:szCs w:val="18"/>
        <w:rtl w:val="0"/>
      </w:rPr>
      <w:t xml:space="preserve">The Ascend at the Aspen Institute Postsecondary Leadership Circle Activation Fund Grants – Budget          </w:t>
    </w:r>
    <w:r w:rsidDel="00000000" w:rsidR="00000000" w:rsidRPr="00000000">
      <w:rPr>
        <w:rFonts w:ascii="Arial" w:cs="Arial" w:eastAsia="Arial" w:hAnsi="Arial"/>
        <w:b w:val="1"/>
        <w:color w:val="00497b"/>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b w:val="1"/>
        <w:color w:val="00497b"/>
        <w:sz w:val="18"/>
        <w:szCs w:val="18"/>
      </w:rPr>
    </w:pPr>
    <w:r w:rsidDel="00000000" w:rsidR="00000000" w:rsidRPr="00000000">
      <w:rPr>
        <w:b w:val="1"/>
        <w:color w:val="00497b"/>
        <w:sz w:val="18"/>
        <w:szCs w:val="18"/>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tabs>
        <w:tab w:val="center" w:leader="none" w:pos="4680"/>
        <w:tab w:val="right" w:leader="none" w:pos="9360"/>
      </w:tabs>
      <w:spacing w:after="240" w:before="240" w:line="240" w:lineRule="auto"/>
      <w:rPr>
        <w:rFonts w:ascii="Arial" w:cs="Arial" w:eastAsia="Arial" w:hAnsi="Arial"/>
        <w:b w:val="1"/>
        <w:color w:val="00497b"/>
      </w:rPr>
    </w:pPr>
    <w:r w:rsidDel="00000000" w:rsidR="00000000" w:rsidRPr="00000000">
      <w:rPr>
        <w:rFonts w:ascii="Arial" w:cs="Arial" w:eastAsia="Arial" w:hAnsi="Arial"/>
        <w:b w:val="1"/>
        <w:color w:val="00497b"/>
        <w:sz w:val="18"/>
        <w:szCs w:val="18"/>
        <w:rtl w:val="0"/>
      </w:rPr>
      <w:t xml:space="preserve">The Ascend at the Aspen Institute Postsecondary Leadership Circle Activation Fund Grants – Budget         </w:t>
    </w:r>
    <w:r w:rsidDel="00000000" w:rsidR="00000000" w:rsidRPr="00000000">
      <w:rPr>
        <w:rFonts w:ascii="Arial" w:cs="Arial" w:eastAsia="Arial" w:hAnsi="Arial"/>
        <w:b w:val="1"/>
        <w:color w:val="00497b"/>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b w:val="1"/>
        <w:color w:val="0070c0"/>
        <w:sz w:val="18"/>
        <w:szCs w:val="18"/>
      </w:rPr>
    </w:pPr>
    <w:r w:rsidDel="00000000" w:rsidR="00000000" w:rsidRPr="00000000">
      <w:rPr>
        <w:b w:val="1"/>
        <w:color w:val="0070c0"/>
        <w:sz w:val="18"/>
        <w:szCs w:val="18"/>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drawing>
        <wp:inline distB="114300" distT="114300" distL="114300" distR="114300">
          <wp:extent cx="2166938" cy="1000831"/>
          <wp:effectExtent b="0" l="0" r="0" t="0"/>
          <wp:docPr id="49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6938" cy="10008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paragraph" w:styleId="Header">
    <w:name w:val="header"/>
    <w:basedOn w:val="Normal"/>
    <w:link w:val="HeaderChar"/>
    <w:uiPriority w:val="99"/>
    <w:unhideWhenUsed w:val="1"/>
    <w:rsid w:val="000F38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F3839"/>
  </w:style>
  <w:style w:type="paragraph" w:styleId="Footer">
    <w:name w:val="footer"/>
    <w:basedOn w:val="Normal"/>
    <w:link w:val="FooterChar"/>
    <w:uiPriority w:val="99"/>
    <w:unhideWhenUsed w:val="1"/>
    <w:rsid w:val="000F38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F3839"/>
  </w:style>
  <w:style w:type="character" w:styleId="PageNumber">
    <w:name w:val="page number"/>
    <w:basedOn w:val="DefaultParagraphFont"/>
    <w:uiPriority w:val="99"/>
    <w:semiHidden w:val="1"/>
    <w:unhideWhenUsed w:val="1"/>
    <w:rsid w:val="001E2642"/>
  </w:style>
  <w:style w:type="character" w:styleId="normaltextrun" w:customStyle="1">
    <w:name w:val="normaltextrun"/>
    <w:basedOn w:val="DefaultParagraphFont"/>
    <w:rsid w:val="0065505A"/>
  </w:style>
  <w:style w:type="character" w:styleId="eop" w:customStyle="1">
    <w:name w:val="eop"/>
    <w:basedOn w:val="DefaultParagraphFont"/>
    <w:rsid w:val="0065505A"/>
  </w:style>
  <w:style w:type="character" w:styleId="UnresolvedMention">
    <w:name w:val="Unresolved Mention"/>
    <w:basedOn w:val="DefaultParagraphFont"/>
    <w:uiPriority w:val="99"/>
    <w:semiHidden w:val="1"/>
    <w:unhideWhenUsed w:val="1"/>
    <w:rsid w:val="003B3604"/>
    <w:rPr>
      <w:color w:val="605e5c"/>
      <w:shd w:color="auto" w:fill="e1dfdd" w:val="clear"/>
    </w:rPr>
  </w:style>
  <w:style w:type="character" w:styleId="FollowedHyperlink">
    <w:name w:val="FollowedHyperlink"/>
    <w:basedOn w:val="DefaultParagraphFont"/>
    <w:uiPriority w:val="99"/>
    <w:semiHidden w:val="1"/>
    <w:unhideWhenUsed w:val="1"/>
    <w:rsid w:val="00663EAF"/>
    <w:rPr>
      <w:color w:val="954f72" w:themeColor="followedHyperlink"/>
      <w:u w:val="single"/>
    </w:rPr>
  </w:style>
  <w:style w:type="paragraph" w:styleId="BalloonText">
    <w:name w:val="Balloon Text"/>
    <w:basedOn w:val="Normal"/>
    <w:link w:val="BalloonTextChar"/>
    <w:uiPriority w:val="99"/>
    <w:semiHidden w:val="1"/>
    <w:unhideWhenUsed w:val="1"/>
    <w:rsid w:val="00284585"/>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84585"/>
    <w:rPr>
      <w:rFonts w:ascii="Times New Roman" w:cs="Times New Roman" w:hAnsi="Times New Roman"/>
      <w:sz w:val="18"/>
      <w:szCs w:val="18"/>
    </w:rPr>
  </w:style>
  <w:style w:type="paragraph" w:styleId="FootnoteText">
    <w:name w:val="footnote text"/>
    <w:basedOn w:val="Normal"/>
    <w:link w:val="FootnoteTextChar"/>
    <w:uiPriority w:val="99"/>
    <w:semiHidden w:val="1"/>
    <w:unhideWhenUsed w:val="1"/>
    <w:rsid w:val="00CC02F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CC02F4"/>
    <w:rPr>
      <w:sz w:val="20"/>
      <w:szCs w:val="20"/>
    </w:rPr>
  </w:style>
  <w:style w:type="character" w:styleId="FootnoteReference">
    <w:name w:val="footnote reference"/>
    <w:basedOn w:val="DefaultParagraphFont"/>
    <w:uiPriority w:val="99"/>
    <w:semiHidden w:val="1"/>
    <w:unhideWhenUsed w:val="1"/>
    <w:rsid w:val="00CC02F4"/>
    <w:rPr>
      <w:vertAlign w:val="superscript"/>
    </w:rPr>
  </w:style>
  <w:style w:type="table" w:styleId="TableGrid">
    <w:name w:val="Table Grid"/>
    <w:basedOn w:val="TableNormal"/>
    <w:uiPriority w:val="39"/>
    <w:rsid w:val="00C323D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2A1E64"/>
    <w:rPr>
      <w:sz w:val="16"/>
      <w:szCs w:val="16"/>
    </w:rPr>
  </w:style>
  <w:style w:type="paragraph" w:styleId="CommentText">
    <w:name w:val="annotation text"/>
    <w:basedOn w:val="Normal"/>
    <w:link w:val="CommentTextChar"/>
    <w:uiPriority w:val="99"/>
    <w:unhideWhenUsed w:val="1"/>
    <w:rsid w:val="002A1E64"/>
    <w:pPr>
      <w:spacing w:line="240" w:lineRule="auto"/>
    </w:pPr>
    <w:rPr>
      <w:sz w:val="20"/>
      <w:szCs w:val="20"/>
    </w:rPr>
  </w:style>
  <w:style w:type="character" w:styleId="CommentTextChar" w:customStyle="1">
    <w:name w:val="Comment Text Char"/>
    <w:basedOn w:val="DefaultParagraphFont"/>
    <w:link w:val="CommentText"/>
    <w:uiPriority w:val="99"/>
    <w:rsid w:val="002A1E64"/>
    <w:rPr>
      <w:sz w:val="20"/>
      <w:szCs w:val="20"/>
    </w:rPr>
  </w:style>
  <w:style w:type="paragraph" w:styleId="CommentSubject">
    <w:name w:val="annotation subject"/>
    <w:basedOn w:val="CommentText"/>
    <w:next w:val="CommentText"/>
    <w:link w:val="CommentSubjectChar"/>
    <w:uiPriority w:val="99"/>
    <w:semiHidden w:val="1"/>
    <w:unhideWhenUsed w:val="1"/>
    <w:rsid w:val="002A1E64"/>
    <w:rPr>
      <w:b w:val="1"/>
      <w:bCs w:val="1"/>
    </w:rPr>
  </w:style>
  <w:style w:type="character" w:styleId="CommentSubjectChar" w:customStyle="1">
    <w:name w:val="Comment Subject Char"/>
    <w:basedOn w:val="CommentTextChar"/>
    <w:link w:val="CommentSubject"/>
    <w:uiPriority w:val="99"/>
    <w:semiHidden w:val="1"/>
    <w:rsid w:val="002A1E64"/>
    <w:rPr>
      <w:b w:val="1"/>
      <w:bCs w:val="1"/>
      <w:sz w:val="20"/>
      <w:szCs w:val="20"/>
    </w:rPr>
  </w:style>
  <w:style w:type="paragraph" w:styleId="NormalWeb">
    <w:name w:val="Normal (Web)"/>
    <w:basedOn w:val="Normal"/>
    <w:uiPriority w:val="99"/>
    <w:unhideWhenUsed w:val="1"/>
    <w:rsid w:val="000D0D93"/>
    <w:pPr>
      <w:spacing w:after="100" w:afterAutospacing="1" w:before="100" w:beforeAutospacing="1" w:line="240" w:lineRule="auto"/>
    </w:pPr>
    <w:rPr>
      <w:rFonts w:ascii="Times New Roman" w:cs="Times New Roman" w:eastAsia="Times New Roman" w:hAnsi="Times New Roman"/>
      <w:sz w:val="24"/>
      <w:szCs w:val="24"/>
    </w:rPr>
  </w:style>
  <w:style w:type="paragraph" w:styleId="EndnoteText">
    <w:name w:val="endnote text"/>
    <w:basedOn w:val="Normal"/>
    <w:link w:val="EndnoteTextChar"/>
    <w:uiPriority w:val="99"/>
    <w:semiHidden w:val="1"/>
    <w:unhideWhenUsed w:val="1"/>
    <w:rsid w:val="008535EE"/>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8535EE"/>
    <w:rPr>
      <w:sz w:val="20"/>
      <w:szCs w:val="20"/>
    </w:rPr>
  </w:style>
  <w:style w:type="character" w:styleId="EndnoteReference">
    <w:name w:val="endnote reference"/>
    <w:basedOn w:val="DefaultParagraphFont"/>
    <w:uiPriority w:val="99"/>
    <w:semiHidden w:val="1"/>
    <w:unhideWhenUsed w:val="1"/>
    <w:rsid w:val="008535EE"/>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OCHeading">
    <w:name w:val="TOC Heading"/>
    <w:basedOn w:val="Heading1"/>
    <w:next w:val="Normal"/>
    <w:uiPriority w:val="39"/>
    <w:unhideWhenUsed w:val="1"/>
    <w:qFormat w:val="1"/>
    <w:rsid w:val="004E6C76"/>
    <w:pPr>
      <w:spacing w:after="0" w:before="240"/>
      <w:outlineLvl w:val="9"/>
    </w:pPr>
    <w:rPr>
      <w:rFonts w:asciiTheme="majorHAnsi" w:cstheme="majorBidi" w:eastAsiaTheme="majorEastAsia" w:hAnsiTheme="majorHAnsi"/>
      <w:b w:val="0"/>
      <w:color w:val="2f5496" w:themeColor="accent1" w:themeShade="0000BF"/>
      <w:sz w:val="32"/>
      <w:szCs w:val="32"/>
    </w:rPr>
  </w:style>
  <w:style w:type="paragraph" w:styleId="TOC2">
    <w:name w:val="toc 2"/>
    <w:basedOn w:val="Normal"/>
    <w:next w:val="Normal"/>
    <w:autoRedefine w:val="1"/>
    <w:uiPriority w:val="39"/>
    <w:unhideWhenUsed w:val="1"/>
    <w:rsid w:val="00FC5A61"/>
    <w:pPr>
      <w:spacing w:after="100"/>
      <w:ind w:left="216"/>
    </w:pPr>
    <w:rPr>
      <w:rFonts w:ascii="Avenir" w:cs="Avenir" w:eastAsia="Avenir" w:hAnsi="Avenir"/>
      <w:bCs w:val="1"/>
      <w:color w:val="00497b"/>
      <w:sz w:val="24"/>
      <w:szCs w:val="24"/>
    </w:rPr>
  </w:style>
  <w:style w:type="paragraph" w:styleId="TOC1">
    <w:name w:val="toc 1"/>
    <w:basedOn w:val="Normal"/>
    <w:next w:val="Normal"/>
    <w:autoRedefine w:val="1"/>
    <w:uiPriority w:val="39"/>
    <w:unhideWhenUsed w:val="1"/>
    <w:rsid w:val="0067769F"/>
    <w:pPr>
      <w:spacing w:after="100"/>
    </w:pPr>
    <w:rPr>
      <w:rFonts w:eastAsiaTheme="minorEastAsia"/>
      <w:b w:val="1"/>
      <w:color w:val="000000" w:themeColor="text1"/>
      <w:sz w:val="24"/>
      <w:szCs w:val="24"/>
    </w:rPr>
  </w:style>
  <w:style w:type="paragraph" w:styleId="TOC3">
    <w:name w:val="toc 3"/>
    <w:basedOn w:val="Normal"/>
    <w:next w:val="Normal"/>
    <w:autoRedefine w:val="1"/>
    <w:uiPriority w:val="39"/>
    <w:unhideWhenUsed w:val="1"/>
    <w:rsid w:val="004E6C76"/>
    <w:pPr>
      <w:spacing w:after="100"/>
      <w:ind w:left="440"/>
    </w:pPr>
    <w:rPr>
      <w:rFonts w:cs="Times New Roman" w:asciiTheme="minorHAnsi" w:eastAsiaTheme="minorEastAsia" w:hAnsiTheme="minorHAnsi"/>
    </w:rPr>
  </w:style>
  <w:style w:type="paragraph" w:styleId="Revision">
    <w:name w:val="Revision"/>
    <w:hidden w:val="1"/>
    <w:uiPriority w:val="99"/>
    <w:semiHidden w:val="1"/>
    <w:rsid w:val="00EE75BF"/>
    <w:pPr>
      <w:spacing w:after="0" w:line="240" w:lineRule="auto"/>
    </w:p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qKSv9FdfGzIN4KtkbLHx8kSYQ==">CgMxLjA4AHIhMWM3blFiM3FXT0V6NEV5QWNTeDBsbWZUTGNKcm9OUVI4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2022-10-17T18:34:00Z</dcterms:created>
  <dc:creator>Alexis Williams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0x010100E42ED76B9D6FFA48A50055D9C4CC6BFC</vt:lpwstr>
  </property>
</Properties>
</file>